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Pr="00745DC9" w:rsidRDefault="00EF425A">
      <w:r w:rsidRPr="00745DC9">
        <w:t xml:space="preserve">OR.272.5.2015 </w:t>
      </w:r>
      <w:r w:rsidRPr="00745DC9">
        <w:tab/>
      </w:r>
      <w:r w:rsidRPr="00745DC9">
        <w:tab/>
      </w:r>
      <w:r w:rsidRPr="00745DC9">
        <w:tab/>
      </w:r>
      <w:r w:rsidRPr="00745DC9">
        <w:tab/>
      </w:r>
      <w:r w:rsidRPr="00745DC9">
        <w:tab/>
      </w:r>
      <w:r w:rsidRPr="00745DC9">
        <w:tab/>
      </w:r>
      <w:r w:rsidR="006E29FB">
        <w:tab/>
      </w:r>
      <w:r w:rsidRPr="00745DC9">
        <w:tab/>
      </w:r>
      <w:r w:rsidRPr="00745DC9">
        <w:tab/>
        <w:t>Kolbuszowa, 2015-06-26</w:t>
      </w:r>
    </w:p>
    <w:p w:rsidR="00EF425A" w:rsidRPr="00745DC9" w:rsidRDefault="00EF425A" w:rsidP="00EF425A">
      <w:pPr>
        <w:jc w:val="right"/>
        <w:rPr>
          <w:b/>
        </w:rPr>
      </w:pPr>
      <w:r w:rsidRPr="00745DC9">
        <w:rPr>
          <w:b/>
        </w:rPr>
        <w:t>Wszyscy Wykonawcy</w:t>
      </w:r>
    </w:p>
    <w:p w:rsidR="006E29FB" w:rsidRPr="006E29FB" w:rsidRDefault="00EF425A" w:rsidP="006E29FB">
      <w:pPr>
        <w:jc w:val="both"/>
        <w:rPr>
          <w:b/>
          <w:i/>
          <w:iCs/>
        </w:rPr>
      </w:pPr>
      <w:r w:rsidRPr="00745DC9">
        <w:t xml:space="preserve">W dniu 24.06.2015 r. do zamawiającego wpłynęło zapytanie </w:t>
      </w:r>
      <w:r w:rsidR="006E29FB">
        <w:t>dotyczące przetargu na:</w:t>
      </w:r>
      <w:r w:rsidR="006E29FB" w:rsidRPr="006E29FB">
        <w:rPr>
          <w:rFonts w:eastAsia="Times New Roman"/>
          <w:b/>
          <w:i/>
          <w:iCs/>
          <w:sz w:val="28"/>
          <w:szCs w:val="28"/>
          <w:lang w:eastAsia="pl-PL"/>
        </w:rPr>
        <w:t xml:space="preserve"> </w:t>
      </w:r>
      <w:r w:rsidR="006E29FB" w:rsidRPr="006E29FB">
        <w:rPr>
          <w:b/>
          <w:i/>
          <w:iCs/>
        </w:rPr>
        <w:t>„Przebudowa boiska wielofunkcyjnego na terenie Liceum Ogólnokształcącego w Kolbuszowej”</w:t>
      </w:r>
      <w:r w:rsidR="006E29FB">
        <w:rPr>
          <w:b/>
          <w:i/>
          <w:iCs/>
        </w:rPr>
        <w:t>.</w:t>
      </w:r>
    </w:p>
    <w:p w:rsidR="006E29FB" w:rsidRPr="00F41C67" w:rsidRDefault="006E29FB" w:rsidP="006E29FB">
      <w:pPr>
        <w:jc w:val="both"/>
      </w:pPr>
      <w:r w:rsidRPr="00F41C67">
        <w:t>Zamawiający zgodnie z art. 38 ust. 2 ustawy z dnia 29 stycznia 2004 r. Prawo zamówień publicznych informuje o</w:t>
      </w:r>
      <w:r>
        <w:t xml:space="preserve"> ich treści i udziela wyjaśnień:</w:t>
      </w:r>
    </w:p>
    <w:p w:rsidR="006E29FB" w:rsidRPr="006E29FB" w:rsidRDefault="006E29FB" w:rsidP="00EF425A">
      <w:pPr>
        <w:jc w:val="both"/>
        <w:rPr>
          <w:b/>
        </w:rPr>
      </w:pPr>
      <w:r w:rsidRPr="006E29FB">
        <w:rPr>
          <w:b/>
        </w:rPr>
        <w:t>Pytanie:</w:t>
      </w:r>
    </w:p>
    <w:p w:rsidR="006E29FB" w:rsidRDefault="00EF425A" w:rsidP="00EF425A">
      <w:pPr>
        <w:jc w:val="both"/>
      </w:pPr>
      <w:r w:rsidRPr="00745DC9">
        <w:rPr>
          <w:noProof/>
          <w:lang w:eastAsia="pl-PL"/>
        </w:rPr>
        <w:drawing>
          <wp:inline distT="0" distB="0" distL="0" distR="0" wp14:anchorId="7B33AE58" wp14:editId="08B45DA2">
            <wp:extent cx="5760720" cy="59114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C9">
        <w:t xml:space="preserve"> </w:t>
      </w:r>
      <w:r w:rsidRPr="00745DC9">
        <w:rPr>
          <w:noProof/>
          <w:lang w:eastAsia="pl-PL"/>
        </w:rPr>
        <w:drawing>
          <wp:inline distT="0" distB="0" distL="0" distR="0" wp14:anchorId="0A78C67A" wp14:editId="5662F9C1">
            <wp:extent cx="5758249" cy="16640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5A" w:rsidRPr="00745DC9" w:rsidRDefault="00EF425A" w:rsidP="00EF425A">
      <w:pPr>
        <w:jc w:val="both"/>
        <w:rPr>
          <w:b/>
        </w:rPr>
      </w:pPr>
      <w:r w:rsidRPr="00745DC9">
        <w:rPr>
          <w:b/>
        </w:rPr>
        <w:lastRenderedPageBreak/>
        <w:t>Odpowiedź:</w:t>
      </w:r>
    </w:p>
    <w:p w:rsidR="00EF425A" w:rsidRPr="00745DC9" w:rsidRDefault="00745DC9" w:rsidP="00EF425A">
      <w:pPr>
        <w:jc w:val="both"/>
      </w:pPr>
      <w:r>
        <w:t xml:space="preserve">W związku z powyższym </w:t>
      </w:r>
      <w:r w:rsidR="00494462">
        <w:t xml:space="preserve">pytaniem </w:t>
      </w:r>
      <w:r w:rsidR="00EF425A" w:rsidRPr="00745DC9">
        <w:t xml:space="preserve">Zamawiający dokonał zmiany treści SIWZ wprowadzając następujące parametry </w:t>
      </w:r>
      <w:r w:rsidRPr="00745DC9">
        <w:t>nawierzchni:</w:t>
      </w:r>
    </w:p>
    <w:p w:rsidR="00745DC9" w:rsidRPr="00745DC9" w:rsidRDefault="00745DC9" w:rsidP="00745DC9">
      <w:pPr>
        <w:pStyle w:val="Style9"/>
        <w:widowControl/>
        <w:spacing w:line="240" w:lineRule="auto"/>
        <w:jc w:val="both"/>
        <w:rPr>
          <w:rStyle w:val="FontStyle19"/>
          <w:rFonts w:ascii="Times New Roman" w:hAnsi="Times New Roman" w:cs="Times New Roman"/>
          <w:i w:val="0"/>
          <w:sz w:val="22"/>
          <w:szCs w:val="22"/>
        </w:rPr>
      </w:pPr>
      <w:r w:rsidRPr="00745DC9">
        <w:rPr>
          <w:rStyle w:val="FontStyle19"/>
          <w:rFonts w:ascii="Times New Roman" w:hAnsi="Times New Roman" w:cs="Times New Roman"/>
          <w:i w:val="0"/>
          <w:sz w:val="22"/>
          <w:szCs w:val="22"/>
        </w:rPr>
        <w:t>Nawierzchnia poliuretanowa o grubości 13 mm +_1 mm powinna posiadać parametry techniczne nie gorsze niż:</w:t>
      </w:r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Wytrzymałość na rozciąganie ≥ 0,60 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Wydłużenie względne przy zerwaniu _65 ±</w:t>
      </w:r>
      <w:r w:rsidRPr="00745DC9">
        <w:rPr>
          <w:rStyle w:val="FontStyle18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5 %</w:t>
      </w:r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Wytrzymałość na rozdzieranie ≥ 100 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ścieralność ≤ 0,085 mm</w:t>
      </w:r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Twardość 55 ±5 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ShA</w:t>
      </w:r>
      <w:proofErr w:type="spellEnd"/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tarcie: warunki suche i mokre- wyniki nie mogą różnić się o więcej niż 4 i muszą się zmieścić w przedziale </w:t>
      </w:r>
      <w:r w:rsidRPr="00745DC9">
        <w:rPr>
          <w:rStyle w:val="FontStyle18"/>
          <w:rFonts w:ascii="Times New Roman" w:hAnsi="Times New Roman" w:cs="Times New Roman"/>
          <w:spacing w:val="30"/>
          <w:sz w:val="22"/>
          <w:szCs w:val="22"/>
        </w:rPr>
        <w:t>55-100</w:t>
      </w:r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Mrozoodporność ≤71 %</w:t>
      </w:r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Odporność na uderzenie, powierzchnia odcisku kulki 550±25 mm</w:t>
      </w:r>
      <w:r w:rsidRPr="00745DC9">
        <w:rPr>
          <w:rStyle w:val="FontStyle18"/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745DC9" w:rsidRPr="00745DC9" w:rsidRDefault="00745DC9" w:rsidP="00745DC9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Odbicie piłki koszykowej ≥ 99 %</w:t>
      </w:r>
    </w:p>
    <w:p w:rsidR="00745DC9" w:rsidRPr="00745DC9" w:rsidRDefault="00745DC9" w:rsidP="00745DC9">
      <w:pPr>
        <w:pStyle w:val="Style12"/>
        <w:widowControl/>
        <w:tabs>
          <w:tab w:val="left" w:pos="35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10.</w:t>
      </w: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ab/>
        <w:t>Przyczepność</w:t>
      </w:r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do podkładu betonowego 0,65 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do podkładu asfaltobetonowego 0,50 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do podkładu elastycznego ET 0,55 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745DC9" w:rsidRPr="00745DC9" w:rsidRDefault="00745DC9" w:rsidP="00745DC9">
      <w:pPr>
        <w:pStyle w:val="Style11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45DC9" w:rsidRPr="00745DC9" w:rsidRDefault="00745DC9" w:rsidP="00745DC9">
      <w:pPr>
        <w:pStyle w:val="Style11"/>
        <w:widowControl/>
        <w:jc w:val="both"/>
        <w:rPr>
          <w:rStyle w:val="FontStyle19"/>
          <w:rFonts w:ascii="Times New Roman" w:hAnsi="Times New Roman" w:cs="Times New Roman"/>
          <w:i w:val="0"/>
          <w:sz w:val="22"/>
          <w:szCs w:val="22"/>
        </w:rPr>
      </w:pPr>
      <w:r w:rsidRPr="00745DC9">
        <w:rPr>
          <w:rStyle w:val="FontStyle19"/>
          <w:rFonts w:ascii="Times New Roman" w:hAnsi="Times New Roman" w:cs="Times New Roman"/>
          <w:i w:val="0"/>
          <w:sz w:val="22"/>
          <w:szCs w:val="22"/>
        </w:rPr>
        <w:t>Nawierzchnia powinna być przyjazna dla otoczenia i ludzi korzystających z niej, a zawartość</w:t>
      </w:r>
    </w:p>
    <w:p w:rsidR="00745DC9" w:rsidRPr="00745DC9" w:rsidRDefault="00745DC9" w:rsidP="00745DC9">
      <w:pPr>
        <w:pStyle w:val="Style11"/>
        <w:widowControl/>
        <w:jc w:val="both"/>
        <w:rPr>
          <w:rStyle w:val="FontStyle19"/>
          <w:rFonts w:ascii="Times New Roman" w:hAnsi="Times New Roman" w:cs="Times New Roman"/>
          <w:i w:val="0"/>
          <w:sz w:val="22"/>
          <w:szCs w:val="22"/>
        </w:rPr>
      </w:pPr>
      <w:r w:rsidRPr="00745DC9">
        <w:rPr>
          <w:rStyle w:val="FontStyle19"/>
          <w:rFonts w:ascii="Times New Roman" w:hAnsi="Times New Roman" w:cs="Times New Roman"/>
          <w:i w:val="0"/>
          <w:sz w:val="22"/>
          <w:szCs w:val="22"/>
        </w:rPr>
        <w:t>związków chemicznych powinna być nie większa niż: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DOC - po 48 godzinach </w:t>
      </w:r>
      <w:r w:rsidR="00CA710E" w:rsidRPr="00CA710E">
        <w:rPr>
          <w:rFonts w:ascii="Times New Roman" w:hAnsi="Times New Roman" w:cs="Times New Roman"/>
          <w:sz w:val="22"/>
          <w:szCs w:val="22"/>
        </w:rPr>
        <w:t>≤</w:t>
      </w: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 xml:space="preserve"> 10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ołów (Pb) ≤ 0,01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>kadm</w:t>
      </w:r>
      <w:proofErr w:type="spellEnd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 xml:space="preserve"> (Cd) ≤  0,001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>chrom</w:t>
      </w:r>
      <w:proofErr w:type="spellEnd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 xml:space="preserve"> (Cr) ≤   0,01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>chrom</w:t>
      </w:r>
      <w:proofErr w:type="spellEnd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 xml:space="preserve"> VI (</w:t>
      </w: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>CrVI</w:t>
      </w:r>
      <w:proofErr w:type="spellEnd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>) ≤  0,01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>rtęć</w:t>
      </w:r>
      <w:proofErr w:type="spellEnd"/>
      <w:r w:rsidRPr="00745DC9">
        <w:rPr>
          <w:rStyle w:val="FontStyle18"/>
          <w:rFonts w:ascii="Times New Roman" w:hAnsi="Times New Roman" w:cs="Times New Roman"/>
          <w:sz w:val="22"/>
          <w:szCs w:val="22"/>
          <w:lang w:val="en-US"/>
        </w:rPr>
        <w:t xml:space="preserve"> (Hg) ≤  0,001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cynk (Zn) ≤ 1,5 mg/l</w:t>
      </w:r>
    </w:p>
    <w:p w:rsidR="00745DC9" w:rsidRPr="00745DC9" w:rsidRDefault="00745DC9" w:rsidP="00745DC9">
      <w:pPr>
        <w:pStyle w:val="Style10"/>
        <w:widowControl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cyna (Sn) ≤  0,0 mg/l</w:t>
      </w:r>
    </w:p>
    <w:p w:rsidR="00745DC9" w:rsidRPr="00745DC9" w:rsidRDefault="00745DC9" w:rsidP="00745DC9">
      <w:pPr>
        <w:pStyle w:val="Style11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745DC9" w:rsidRPr="00745DC9" w:rsidRDefault="00745DC9" w:rsidP="00745DC9">
      <w:pPr>
        <w:pStyle w:val="Style11"/>
        <w:widowControl/>
        <w:contextualSpacing/>
        <w:jc w:val="both"/>
        <w:rPr>
          <w:rStyle w:val="FontStyle19"/>
          <w:rFonts w:ascii="Times New Roman" w:hAnsi="Times New Roman" w:cs="Times New Roman"/>
          <w:i w:val="0"/>
          <w:sz w:val="22"/>
          <w:szCs w:val="22"/>
          <w:u w:val="single"/>
        </w:rPr>
      </w:pPr>
      <w:r w:rsidRPr="00745DC9">
        <w:rPr>
          <w:rStyle w:val="FontStyle19"/>
          <w:rFonts w:ascii="Times New Roman" w:hAnsi="Times New Roman" w:cs="Times New Roman"/>
          <w:i w:val="0"/>
          <w:sz w:val="22"/>
          <w:szCs w:val="22"/>
          <w:u w:val="single"/>
        </w:rPr>
        <w:t>Wymagane dokumenty dotyczące nawierzchni:</w:t>
      </w:r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ind w:right="1382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badania na zgodność z normą PN-EN 14877, lub z normą DIN 18035/6 i IAAF, lub aprobata techniczna ITB, lub rekomendacja techniczna ITB, lub wynik badania specjalistycznego laboratorium badającego nawierzchnie sportowe,</w:t>
      </w:r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atest higieniczny PZH,</w:t>
      </w:r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autoryzacja producenta systemu,</w:t>
      </w:r>
    </w:p>
    <w:p w:rsidR="00745DC9" w:rsidRPr="00745DC9" w:rsidRDefault="00745DC9" w:rsidP="00745DC9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240" w:lineRule="auto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karta techniczna oferowanej nawierzchni potwierdzona przez jej producenta,</w:t>
      </w:r>
    </w:p>
    <w:p w:rsidR="00745DC9" w:rsidRPr="00745DC9" w:rsidRDefault="00745DC9" w:rsidP="00745DC9">
      <w:pPr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-</w:t>
      </w:r>
      <w:r>
        <w:rPr>
          <w:rStyle w:val="FontStyle18"/>
          <w:rFonts w:ascii="Times New Roman" w:hAnsi="Times New Roman" w:cs="Times New Roman"/>
          <w:sz w:val="22"/>
          <w:szCs w:val="22"/>
        </w:rPr>
        <w:t>a</w:t>
      </w:r>
      <w:r w:rsidRPr="00745DC9">
        <w:rPr>
          <w:rStyle w:val="FontStyle18"/>
          <w:rFonts w:ascii="Times New Roman" w:hAnsi="Times New Roman" w:cs="Times New Roman"/>
          <w:sz w:val="22"/>
          <w:szCs w:val="22"/>
        </w:rPr>
        <w:t>ktualne badania na zawartość pierwiastków śladowych</w:t>
      </w:r>
    </w:p>
    <w:p w:rsidR="00745DC9" w:rsidRDefault="00745DC9" w:rsidP="00EF425A">
      <w:pPr>
        <w:jc w:val="both"/>
      </w:pPr>
    </w:p>
    <w:p w:rsidR="00745DC9" w:rsidRDefault="00745DC9" w:rsidP="00EF425A">
      <w:pPr>
        <w:jc w:val="both"/>
        <w:rPr>
          <w:b/>
        </w:rPr>
      </w:pPr>
      <w:r w:rsidRPr="006E29FB">
        <w:rPr>
          <w:b/>
        </w:rPr>
        <w:t xml:space="preserve">Jednocześnie Zamawiający dokonując zmiany treści SIWZ przedłużył termin składania ofert do </w:t>
      </w:r>
      <w:r w:rsidR="00B07676" w:rsidRPr="006E29FB">
        <w:rPr>
          <w:b/>
        </w:rPr>
        <w:t>dnia</w:t>
      </w:r>
      <w:r w:rsidRPr="006E29FB">
        <w:rPr>
          <w:b/>
        </w:rPr>
        <w:t xml:space="preserve"> 0</w:t>
      </w:r>
      <w:r w:rsidR="00787214">
        <w:rPr>
          <w:b/>
        </w:rPr>
        <w:t>6</w:t>
      </w:r>
      <w:bookmarkStart w:id="0" w:name="_GoBack"/>
      <w:bookmarkEnd w:id="0"/>
      <w:r w:rsidRPr="006E29FB">
        <w:rPr>
          <w:b/>
        </w:rPr>
        <w:t xml:space="preserve">.07.2015 r. do godz. 13.30 </w:t>
      </w:r>
    </w:p>
    <w:p w:rsidR="006E29FB" w:rsidRDefault="006E29FB" w:rsidP="00EF425A">
      <w:pPr>
        <w:jc w:val="both"/>
        <w:rPr>
          <w:b/>
        </w:rPr>
      </w:pPr>
    </w:p>
    <w:p w:rsidR="00494462" w:rsidRDefault="00494462" w:rsidP="00EF425A">
      <w:pPr>
        <w:jc w:val="both"/>
        <w:rPr>
          <w:b/>
        </w:rPr>
      </w:pPr>
    </w:p>
    <w:p w:rsidR="00494462" w:rsidRDefault="00494462" w:rsidP="00EF425A">
      <w:pPr>
        <w:jc w:val="both"/>
        <w:rPr>
          <w:b/>
        </w:rPr>
      </w:pPr>
    </w:p>
    <w:p w:rsidR="006E29FB" w:rsidRPr="006E29FB" w:rsidRDefault="006E29FB" w:rsidP="00EF425A">
      <w:pPr>
        <w:jc w:val="both"/>
        <w:rPr>
          <w:u w:val="single"/>
        </w:rPr>
      </w:pPr>
      <w:r w:rsidRPr="006E29FB">
        <w:rPr>
          <w:u w:val="single"/>
        </w:rPr>
        <w:t>Otrzymują:</w:t>
      </w:r>
    </w:p>
    <w:p w:rsidR="006E29FB" w:rsidRPr="006E29FB" w:rsidRDefault="006E29FB" w:rsidP="006E29FB">
      <w:pPr>
        <w:tabs>
          <w:tab w:val="left" w:pos="426"/>
        </w:tabs>
        <w:jc w:val="both"/>
      </w:pPr>
      <w:r w:rsidRPr="006E29FB">
        <w:t>1.</w:t>
      </w:r>
      <w:r w:rsidRPr="006E29FB">
        <w:tab/>
        <w:t xml:space="preserve"> 1 x Adresat</w:t>
      </w:r>
    </w:p>
    <w:p w:rsidR="006E29FB" w:rsidRPr="006E29FB" w:rsidRDefault="006E29FB" w:rsidP="006E29FB">
      <w:pPr>
        <w:tabs>
          <w:tab w:val="left" w:pos="426"/>
        </w:tabs>
        <w:jc w:val="both"/>
      </w:pPr>
      <w:r w:rsidRPr="006E29FB">
        <w:t>2.</w:t>
      </w:r>
      <w:r w:rsidRPr="006E29FB">
        <w:tab/>
        <w:t>1 x a/a</w:t>
      </w:r>
    </w:p>
    <w:sectPr w:rsidR="006E29FB" w:rsidRPr="006E29FB" w:rsidSect="006E2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CC0182"/>
    <w:lvl w:ilvl="0">
      <w:numFmt w:val="bullet"/>
      <w:lvlText w:val="*"/>
      <w:lvlJc w:val="left"/>
    </w:lvl>
  </w:abstractNum>
  <w:abstractNum w:abstractNumId="1">
    <w:nsid w:val="33422245"/>
    <w:multiLevelType w:val="singleLevel"/>
    <w:tmpl w:val="BAACF64E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A0"/>
    <w:rsid w:val="00494462"/>
    <w:rsid w:val="006E29FB"/>
    <w:rsid w:val="00745DC9"/>
    <w:rsid w:val="00787214"/>
    <w:rsid w:val="007D3DA0"/>
    <w:rsid w:val="00B07676"/>
    <w:rsid w:val="00CA710E"/>
    <w:rsid w:val="00E54595"/>
    <w:rsid w:val="00EF425A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5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2" w:lineRule="exact"/>
      <w:ind w:firstLine="682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745DC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745DC9"/>
    <w:rPr>
      <w:rFonts w:ascii="Arial" w:hAnsi="Arial" w:cs="Arial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2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5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2" w:lineRule="exact"/>
      <w:ind w:firstLine="682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745DC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745DC9"/>
    <w:rPr>
      <w:rFonts w:ascii="Arial" w:hAnsi="Arial" w:cs="Arial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2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7</cp:revision>
  <dcterms:created xsi:type="dcterms:W3CDTF">2015-06-25T11:03:00Z</dcterms:created>
  <dcterms:modified xsi:type="dcterms:W3CDTF">2015-06-25T12:10:00Z</dcterms:modified>
</cp:coreProperties>
</file>